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80"/>
        <w:jc w:val="left"/>
      </w:pPr>
      <w:r>
        <w:drawing>
          <wp:inline xmlns:a="http://schemas.openxmlformats.org/drawingml/2006/main" xmlns:pic="http://schemas.openxmlformats.org/drawingml/2006/picture">
            <wp:extent cx="1600200" cy="885444"/>
            <wp:docPr id="1" name="Picture 1" descr="ZX Collabs logo" title="ZX Collab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x-logo-sour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85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10A995"/>
          <w:sz w:val="18"/>
        </w:rPr>
        <w:t>ZX COLLABS RESOURCE</w:t>
      </w:r>
    </w:p>
    <w:p>
      <w:pPr>
        <w:spacing w:before="0" w:after="160" w:line="240" w:lineRule="auto"/>
      </w:pPr>
      <w:r>
        <w:rPr>
          <w:rFonts w:ascii="Arial" w:hAnsi="Arial"/>
          <w:b/>
          <w:i w:val="0"/>
          <w:color w:val="151714"/>
          <w:sz w:val="58"/>
        </w:rPr>
        <w:t>Project Execution Plan</w:t>
      </w:r>
    </w:p>
    <w:p>
      <w:pPr>
        <w:spacing w:before="0" w:after="480" w:line="276" w:lineRule="auto"/>
      </w:pPr>
      <w:r>
        <w:rPr>
          <w:rFonts w:ascii="Arial" w:hAnsi="Arial"/>
          <w:b w:val="0"/>
          <w:i w:val="0"/>
          <w:color w:val="5E665F"/>
          <w:sz w:val="28"/>
        </w:rPr>
        <w:t>A practical governance framework for scope, programme, commercial control, communication, quality, risk, information and handover.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E8F6F2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Pre-filled fictional example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A practical, editable starting point. Adapt it to the appointment, project information requirements, local standards, contracts and delivery method.</w:t>
            </w:r>
          </w:p>
        </w:tc>
      </w:tr>
    </w:tbl>
    <w:p>
      <w:pPr>
        <w:spacing w:after="1000"/>
      </w:pPr>
    </w:p>
    <w:p>
      <w:pPr>
        <w:spacing w:before="0" w:after="40" w:line="276" w:lineRule="auto"/>
      </w:pPr>
      <w:r>
        <w:rPr>
          <w:rFonts w:ascii="Arial" w:hAnsi="Arial"/>
          <w:b/>
          <w:i w:val="0"/>
          <w:color w:val="151714"/>
          <w:sz w:val="20"/>
        </w:rPr>
        <w:t>Prepared by ZX Collabs</w:t>
      </w:r>
    </w:p>
    <w:p>
      <w:pPr>
        <w:spacing w:before="0" w:after="40" w:line="276" w:lineRule="auto"/>
      </w:pPr>
      <w:r>
        <w:rPr>
          <w:rFonts w:ascii="Arial" w:hAnsi="Arial"/>
          <w:b w:val="0"/>
          <w:i w:val="0"/>
          <w:color w:val="5E665F"/>
          <w:sz w:val="19"/>
        </w:rPr>
        <w:t>BIM delivery, coordination, documentation and digital workflows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5E665F"/>
          <w:sz w:val="18"/>
        </w:rPr>
        <w:t>Version 1.0  |  22 August 2026</w:t>
      </w:r>
    </w:p>
    <w:p>
      <w:r>
        <w:br w:type="page"/>
      </w:r>
    </w:p>
    <w:p>
      <w:pPr>
        <w:pStyle w:val="Heading1"/>
      </w:pPr>
      <w:r>
        <w:t>How to use this template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This Project Execution Plan (PEP) is a working management document. Complete it collaboratively, assign named owners, reference controlled project documents instead of duplicating them, and revise it when the appointment, scope, programme or delivery team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10A995"/>
          <w:left w:val="single" w:sz="8" w:space="0" w:color="10A995"/>
          <w:bottom w:val="single" w:sz="8" w:space="0" w:color="10A995"/>
          <w:right w:val="single" w:sz="8" w:space="0" w:color="10A995"/>
          <w:insideH w:val="single" w:sz="8" w:space="0" w:color="10A995"/>
          <w:insideV w:val="single" w:sz="8" w:space="0" w:color="10A995"/>
        </w:tblBorders>
      </w:tblPr>
      <w:tblGrid>
        <w:gridCol w:w="9360"/>
      </w:tblGrid>
      <w:tr>
        <w:tc>
          <w:tcPr>
            <w:tcW w:type="dxa" w:w="9360"/>
            <w:shd w:fill="FFF3E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10A995"/>
                <w:sz w:val="20"/>
              </w:rPr>
              <w:t xml:space="preserve">FICTIONAL EXAMPLE  </w:t>
            </w:r>
            <w:r>
              <w:rPr>
                <w:rFonts w:ascii="Arial" w:hAnsi="Arial"/>
                <w:b w:val="0"/>
                <w:i w:val="0"/>
                <w:color w:val="151714"/>
                <w:sz w:val="20"/>
              </w:rPr>
              <w:t>Northgate Community Health Centre, its organizations, people, dates and identifiers are invented solely to demonstrate how a completed plan can read. Replace every sample entry before project use.</w:t>
            </w:r>
          </w:p>
        </w:tc>
      </w:tr>
    </w:tbl>
    <w:p>
      <w:pPr>
        <w:pStyle w:val="Heading2"/>
      </w:pPr>
      <w:r>
        <w:t>Completion sequence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Confirm the appointment, project/asset information requirements, exchange milestones and contractual precedence.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Hold a planning workshop with the project manager, information manager, discipline leads and relevant asset representatives.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Complete the responsibility, delivery, review and approval fields with named owners—not only company names.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Test the proposed CDE, software, exchange and quality workflows during mobilization.</w:t>
      </w:r>
    </w:p>
    <w:p>
      <w:pPr>
        <w:pStyle w:val="ListNumber"/>
        <w:spacing w:before="0" w:after="60" w:line="276" w:lineRule="auto"/>
        <w:ind w:left="403" w:hanging="259"/>
      </w:pPr>
      <w:r>
        <w:rPr>
          <w:rFonts w:ascii="Arial" w:hAnsi="Arial"/>
          <w:b w:val="0"/>
          <w:i w:val="0"/>
          <w:color w:val="151714"/>
          <w:sz w:val="21"/>
        </w:rPr>
        <w:t>Record approval, distribute the controlled edition and review it at agreed trigger points.</w:t>
      </w:r>
    </w:p>
    <w:p>
      <w:pPr>
        <w:pStyle w:val="Heading2"/>
      </w:pPr>
      <w:r>
        <w:t>Important boundaries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This template is guidance, not the ISO 19650 standard, legal advice or a substitute for project appointments.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Terminology, status codes, suitability codes, naming conventions and information requirements must follow the project's adopted standard and national annex or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Specify information by purpose, acceptance criteria and required level of information need; do not rely on an unexplained LOD number.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Check the current published standard and contract requirements. ISO 19650 Parts 1–3 are in revision as of this edition date.</w:t>
      </w:r>
    </w:p>
    <w:p>
      <w:pPr>
        <w:pStyle w:val="Heading2"/>
      </w:pPr>
      <w:r>
        <w:t>Document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Control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Document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NGCHC-XX-ZZ-PL-ZX-0001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Revision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P02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Status / suitability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For information / project-defined code S2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Lead Appointed Party Information Manager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Review cycle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At appointment, mobilization, each stage gate and material change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CDE / Published / Management Plans</w:t>
            </w:r>
          </w:p>
        </w:tc>
      </w:tr>
    </w:tbl>
    <w:p>
      <w:r>
        <w:br w:type="page"/>
      </w:r>
    </w:p>
    <w:p>
      <w:pPr>
        <w:pStyle w:val="Heading1"/>
      </w:pPr>
      <w:r>
        <w:t>1. Project definition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520"/>
        <w:gridCol w:w="6840"/>
      </w:tblGrid>
      <w:tr>
        <w:trPr>
          <w:tblHeader w:val="true"/>
          <w:cantSplit w:val="true"/>
        </w:trPr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entry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name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Northgate Community Health Centre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ID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NGCHC-2026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Client / sponsor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Northgate Health Estates Ltd (fictional)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director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Daniel Okoro (fictional)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Bristol, United Kingdom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Delivery model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Two-stage design and build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Baseline period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01 September 2026 to 30 September 2027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Approved budget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GBP 28.0 million (sample only)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Plan owner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Controlled location</w:t>
            </w:r>
          </w:p>
        </w:tc>
        <w:tc>
          <w:tcPr>
            <w:tcW w:type="dxa" w:w="68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8"/>
              </w:rPr>
              <w:t>Project CDE / Published / Management Plans</w:t>
            </w:r>
          </w:p>
        </w:tc>
      </w:tr>
    </w:tbl>
    <w:p>
      <w:pPr>
        <w:pStyle w:val="Heading2"/>
      </w:pPr>
      <w:r>
        <w:t>1.1 Purpose and success criteria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584"/>
        <w:gridCol w:w="3671"/>
        <w:gridCol w:w="2664"/>
        <w:gridCol w:w="1440"/>
      </w:tblGrid>
      <w:tr>
        <w:trPr>
          <w:tblHeader w:val="true"/>
          <w:cantSplit w:val="true"/>
        </w:trPr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Outcome</w:t>
            </w:r>
          </w:p>
        </w:tc>
        <w:tc>
          <w:tcPr>
            <w:tcW w:type="dxa" w:w="367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Success criterion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Clinical capacity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Facility supports the approved room schedule and patient-flow brief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design and commissioning evidence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Time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Operational handover by 30 September 2027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baseline and milestone reports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Cost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Forecast remains within approved budget and authorized contingency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 cost report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lead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Zero unresolved critical defects at operational handover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Inspection and defect records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manager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Safety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Work delivered under approved HSE plan with learning and corrective action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reporting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manager</w:t>
            </w:r>
          </w:p>
        </w:tc>
      </w:tr>
      <w:tr>
        <w:trPr>
          <w:cantSplit w:val="true"/>
        </w:trPr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</w:t>
            </w:r>
          </w:p>
        </w:tc>
        <w:tc>
          <w:tcPr>
            <w:tcW w:type="dxa" w:w="367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project and asset information delivered at each stage gate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 acceptance records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r>
        <w:br w:type="page"/>
      </w:r>
    </w:p>
    <w:p>
      <w:pPr>
        <w:pStyle w:val="Heading2"/>
      </w:pPr>
      <w:r>
        <w:t>1.2 Assumptions, constraints and exclusions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888"/>
        <w:gridCol w:w="2376"/>
        <w:gridCol w:w="1440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Type</w:t>
            </w:r>
          </w:p>
        </w:tc>
        <w:tc>
          <w:tcPr>
            <w:tcW w:type="dxa" w:w="38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Statement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Potential impact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Assumption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Planning approval received before detailed design freeze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Planning delay affects programme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Constraint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Live hospital access route remains operational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Logistics and safety sequencing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Constraint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Long-lead electrical equipment procurement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Early design freeze and vendor engagement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Procurement lead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Exclusion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Medical equipment procurement by client unless listed in contract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Interface schedule required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Client project manager</w:t>
            </w:r>
          </w:p>
        </w:tc>
      </w:tr>
    </w:tbl>
    <w:p>
      <w:r>
        <w:br w:type="page"/>
      </w:r>
    </w:p>
    <w:p>
      <w:pPr>
        <w:pStyle w:val="Heading1"/>
      </w:pPr>
      <w:r>
        <w:t>2. Governance and organization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00"/>
        <w:gridCol w:w="1728"/>
        <w:gridCol w:w="3888"/>
        <w:gridCol w:w="1944"/>
      </w:tblGrid>
      <w:tr>
        <w:trPr>
          <w:tblHeader w:val="true"/>
          <w:cantSplit w:val="true"/>
        </w:trPr>
        <w:tc>
          <w:tcPr>
            <w:tcW w:type="dxa" w:w="180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Role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Named lead</w:t>
            </w:r>
          </w:p>
        </w:tc>
        <w:tc>
          <w:tcPr>
            <w:tcW w:type="dxa" w:w="38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 / accountability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Governance forum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sponsor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Priya Menon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Approves business-case, budget and major scope decisions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 board; stage gates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Daniel Okoro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Accountable for integrated delivery and escalation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 leadership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Lena Brooks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Coordinates design scope, interfaces and approvals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lead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Marco Silva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Cost, procurement, change valuation and forecast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 commercial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Harriet Cole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Site delivery, logistics, sequencing and trade coordination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Daily/weekly production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Amina Shah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requirements, CDE, delivery planning and acceptance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delivery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manager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Noah Williams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planning, assurance and incident learning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 HSE review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manager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Mei Chen</w:t>
            </w:r>
          </w:p>
        </w:tc>
        <w:tc>
          <w:tcPr>
            <w:tcW w:type="dxa" w:w="38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plan, inspections, non-conformance and closeout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review</w:t>
            </w:r>
          </w:p>
        </w:tc>
      </w:tr>
    </w:tbl>
    <w:p>
      <w:pPr>
        <w:pStyle w:val="Heading2"/>
      </w:pPr>
      <w:r>
        <w:t>2.1 Decision and escalation matrix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3311"/>
        <w:gridCol w:w="2088"/>
        <w:gridCol w:w="2664"/>
        <w:gridCol w:w="1296"/>
      </w:tblGrid>
      <w:tr>
        <w:trPr>
          <w:tblHeader w:val="true"/>
          <w:cantSplit w:val="true"/>
        </w:trPr>
        <w:tc>
          <w:tcPr>
            <w:tcW w:type="dxa" w:w="331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Decision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Escalation / recommendation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Technical design within approved scope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 working days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Change up to GBP 25,000 within contingency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 notified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5 working days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Change above GBP 25,000 or scope/time impact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 / board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 recommends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Next board or emergency review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Safety stop-work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Any person may stop; HSE manager controls restart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Immediate</w:t>
            </w:r>
          </w:p>
        </w:tc>
      </w:tr>
      <w:tr>
        <w:trPr>
          <w:cantSplit w:val="true"/>
        </w:trPr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exchange acceptance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Appointing-party representative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 assesses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Per exchange schedule</w:t>
            </w:r>
          </w:p>
        </w:tc>
      </w:tr>
    </w:tbl>
    <w:p>
      <w:r>
        <w:br w:type="page"/>
      </w:r>
    </w:p>
    <w:p>
      <w:pPr>
        <w:pStyle w:val="Heading1"/>
      </w:pPr>
      <w:r>
        <w:t>3. Scope and delivery strategy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960"/>
        <w:gridCol w:w="2376"/>
        <w:gridCol w:w="1368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Workstream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Scope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Deliverable</w:t>
            </w:r>
          </w:p>
        </w:tc>
        <w:tc>
          <w:tcPr>
            <w:tcW w:type="dxa" w:w="136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Architecture, structure, MEP, landscape and specialist coordination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design packages and approvals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Enabling works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Site establishment, surveys, utilities diversions and temporary works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Area ready for main works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Main works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Substructure, frame, envelope, fit-out, systems and external works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Completed and tested facility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Integrated testing, training, seasonal plan and statutory evidence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Operational readiness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handover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Record information, asset data, O&amp;M, approvals and archive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information package</w:t>
            </w:r>
          </w:p>
        </w:tc>
        <w:tc>
          <w:tcPr>
            <w:tcW w:type="dxa" w:w="13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pPr>
        <w:pStyle w:val="Heading2"/>
      </w:pPr>
      <w:r>
        <w:t>3.1 Interface register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936"/>
        <w:gridCol w:w="2232"/>
        <w:gridCol w:w="3311"/>
        <w:gridCol w:w="1440"/>
        <w:gridCol w:w="1440"/>
      </w:tblGrid>
      <w:tr>
        <w:trPr>
          <w:tblHeader w:val="true"/>
          <w:cantSplit w:val="true"/>
        </w:trPr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Interface</w:t>
            </w:r>
          </w:p>
        </w:tc>
        <w:tc>
          <w:tcPr>
            <w:tcW w:type="dxa" w:w="331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Dependency / decision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Need date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IF-01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Client medical equipment / building services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Equipment loads and connection points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Stage 3 freeze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IF-02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Existing utilities / new incoming services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Survey confidence and authority approvals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Utilities lead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enabling works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IF-03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Envelope / MEP penetrations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Waterproofing, fire and support details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fabrication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IF-04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BMS / asset information platform</w:t>
            </w:r>
          </w:p>
        </w:tc>
        <w:tc>
          <w:tcPr>
            <w:tcW w:type="dxa" w:w="331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Point naming, IDs and data mapping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Digital lead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commissioning</w:t>
            </w:r>
          </w:p>
        </w:tc>
      </w:tr>
    </w:tbl>
    <w:p>
      <w:pPr>
        <w:pStyle w:val="Heading2"/>
      </w:pPr>
      <w:r>
        <w:t>3.2 Delivery principles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Freeze decisions only when inputs, acceptance criteria and downstream impact are visible.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Plan work by deliverable and interface, not only by discipline.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Keep one controlled source for programme, cost, risk, change and information records.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Use progressive assurance; do not defer all validation to practical completion.</w:t>
      </w:r>
    </w:p>
    <w:p>
      <w:r>
        <w:br w:type="page"/>
      </w:r>
    </w:p>
    <w:p>
      <w:pPr>
        <w:pStyle w:val="Heading1"/>
      </w:pPr>
      <w:r>
        <w:t>4. Programme, planning and controls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2232"/>
        <w:gridCol w:w="1440"/>
        <w:gridCol w:w="3384"/>
        <w:gridCol w:w="1512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Milestone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Baseline</w:t>
            </w:r>
          </w:p>
        </w:tc>
        <w:tc>
          <w:tcPr>
            <w:tcW w:type="dxa" w:w="33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M01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Mobilization complete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30 Sep 2026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CDE, roles, baseline and controls operational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M02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Coordinated design freeze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31 Mar 2027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coordinated design and outstanding-decision register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M03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Envelope watertight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30 Jun 2027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Inspection records and weather-tight certificate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M04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Systems ready for integrated testing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Aug 2027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Pre-commissioning complete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manager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M05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Operational handover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30 Sep 2027</w:t>
            </w:r>
          </w:p>
        </w:tc>
        <w:tc>
          <w:tcPr>
            <w:tcW w:type="dxa" w:w="33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facility, information, training and residual-item plan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</w:tbl>
    <w:p>
      <w:pPr>
        <w:pStyle w:val="Heading2"/>
      </w:pPr>
      <w:r>
        <w:t>4.1 Planning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5832"/>
        <w:gridCol w:w="1655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  <w:tc>
          <w:tcPr>
            <w:tcW w:type="dxa" w:w="58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Baseline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Integrated level 3 programme approved at mobilization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Look-ahead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Six-week look-ahead updated weekly with constraints and owners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Progress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Physical progress supported by agreed evidence; no unsupported percentage claims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Critical path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Reviewed weekly; material movement escalated within two working days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Recovery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Owner, action, dates and resource/cost implications recorded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Workstream lead</w:t>
            </w:r>
          </w:p>
        </w:tc>
      </w:tr>
    </w:tbl>
    <w:p>
      <w:pPr>
        <w:pStyle w:val="Heading2"/>
      </w:pPr>
      <w:r>
        <w:t>4.2 Reporting dashboard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440"/>
        <w:gridCol w:w="5184"/>
        <w:gridCol w:w="1224"/>
        <w:gridCol w:w="1512"/>
      </w:tblGrid>
      <w:tr>
        <w:trPr>
          <w:tblHeader w:val="true"/>
          <w:cantSplit w:val="true"/>
        </w:trPr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Area</w:t>
            </w:r>
          </w:p>
        </w:tc>
        <w:tc>
          <w:tcPr>
            <w:tcW w:type="dxa" w:w="51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Measures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Schedule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Milestone variance; critical path; look-ahead constraints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Planner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Cost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Committed, actual, forecast, contingency and change exposure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lead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Risk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Top risks, trend, overdue treatments and quantitative exposure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Fortnightly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Safety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Leading/lagging indicators, actions and learning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manager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Inspection completion, NCR ageing, defects and closeout trend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manager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</w:t>
            </w:r>
          </w:p>
        </w:tc>
        <w:tc>
          <w:tcPr>
            <w:tcW w:type="dxa" w:w="51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MIDP status, exchanges, rejection reasons and overdue decisions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Fortnightly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r>
        <w:br w:type="page"/>
      </w:r>
    </w:p>
    <w:p>
      <w:pPr>
        <w:pStyle w:val="Heading1"/>
      </w:pPr>
      <w:r>
        <w:t>5. Commercial, procurement and change control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1872"/>
        <w:gridCol w:w="3240"/>
        <w:gridCol w:w="1296"/>
        <w:gridCol w:w="1080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Package</w:t>
            </w:r>
          </w:p>
        </w:tc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Procurement route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Dependency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Need date</w:t>
            </w:r>
          </w:p>
        </w:tc>
        <w:tc>
          <w:tcPr>
            <w:tcW w:type="dxa" w:w="10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Structural steel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Design-assist subcontract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capacity and connection interfaces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Oct 2026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Awarded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Envelope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Two-stage specialist package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Performance specification and sample approval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01 Dec 2026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Tender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Air-handling units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Early equipment order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duties, dimensions and controls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Nov 2026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freeze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BMS integration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Specialist package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Point schedule, cybersecurity and platform interfaces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31 Jan 2027</w:t>
            </w:r>
          </w:p>
        </w:tc>
        <w:tc>
          <w:tcPr>
            <w:tcW w:type="dxa" w:w="10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Prequalification</w:t>
            </w:r>
          </w:p>
        </w:tc>
      </w:tr>
    </w:tbl>
    <w:p>
      <w:pPr>
        <w:pStyle w:val="Heading2"/>
      </w:pPr>
      <w:r>
        <w:t>5.1 Change workflow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Originator raises a change record with reason, affected requirements and required decision date.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Design, programme, cost, safety, quality, information and operational impacts are assessed by named owners.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Authorized decision-maker approves, rejects or requests options within the delegated authority matrix.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Approved change updates the controlled baseline, documents, models, programme, cost forecast and risk record.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Implementation and effectiveness are verified before closure.</w:t>
      </w:r>
    </w:p>
    <w:p>
      <w:pPr>
        <w:pStyle w:val="Heading2"/>
      </w:pPr>
      <w:r>
        <w:t>5.2 Change register fields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936"/>
        <w:gridCol w:w="2232"/>
        <w:gridCol w:w="1944"/>
        <w:gridCol w:w="1872"/>
        <w:gridCol w:w="1224"/>
        <w:gridCol w:w="1152"/>
      </w:tblGrid>
      <w:tr>
        <w:trPr>
          <w:tblHeader w:val="true"/>
          <w:cantSplit w:val="true"/>
        </w:trPr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2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</w:t>
            </w:r>
          </w:p>
        </w:tc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Impact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CH-014</w:t>
            </w:r>
          </w:p>
        </w:tc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Increase UPS autonomy for clinical systems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Client operational resilience review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GBP 42,000 / 8 days if late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Assessment</w:t>
            </w:r>
          </w:p>
        </w:tc>
      </w:tr>
    </w:tbl>
    <w:p>
      <w:r>
        <w:br w:type="page"/>
      </w:r>
    </w:p>
    <w:p>
      <w:pPr>
        <w:pStyle w:val="Heading1"/>
      </w:pPr>
      <w:r>
        <w:t>6. Risk, opportunity and issue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2088"/>
        <w:gridCol w:w="503"/>
        <w:gridCol w:w="503"/>
        <w:gridCol w:w="936"/>
        <w:gridCol w:w="2520"/>
        <w:gridCol w:w="1224"/>
        <w:gridCol w:w="792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Description</w:t>
            </w:r>
          </w:p>
        </w:tc>
        <w:tc>
          <w:tcPr>
            <w:tcW w:type="dxa" w:w="503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</w:t>
            </w:r>
          </w:p>
        </w:tc>
        <w:tc>
          <w:tcPr>
            <w:tcW w:type="dxa" w:w="503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</w:t>
            </w:r>
          </w:p>
        </w:tc>
        <w:tc>
          <w:tcPr>
            <w:tcW w:type="dxa" w:w="93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Score</w:t>
            </w:r>
          </w:p>
        </w:tc>
        <w:tc>
          <w:tcPr>
            <w:tcW w:type="dxa" w:w="252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Treatment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R-01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Late utility diversion approval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4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4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16 High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Early authority workshop; protect alternate sequence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Utilities lead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R-02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MEP plant procurement exceeds lead time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5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High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Early technical freeze and supplier capacity check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Procurement lead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R-03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Incomplete asset data at handover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4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12 High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Sample import and progressive data validation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O-01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Standardized room modules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3</w:t>
            </w:r>
          </w:p>
        </w:tc>
        <w:tc>
          <w:tcPr>
            <w:tcW w:type="dxa" w:w="503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4</w:t>
            </w:r>
          </w:p>
        </w:tc>
        <w:tc>
          <w:tcPr>
            <w:tcW w:type="dxa" w:w="9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12 Opp.</w:t>
            </w:r>
          </w:p>
        </w:tc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Prototype repeatable coordinated room types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Assess</w:t>
            </w:r>
          </w:p>
        </w:tc>
      </w:tr>
    </w:tbl>
    <w:p>
      <w:pPr>
        <w:pStyle w:val="Heading2"/>
      </w:pPr>
      <w:r>
        <w:t>6.1 Rules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Score probability and impact against the approved project matrix; do not compare raw scores from different matrices.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Every treatment has an owner and due date. Review residual risk after the action, not only before it.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Convert an uncertainty that has occurred into an issue with a recovery/decision plan; retain its risk history.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Escalate risks that exceed delegated tolerance or threaten a stage gate, safety, compliance or operational readiness.</w:t>
      </w:r>
    </w:p>
    <w:p>
      <w:pPr>
        <w:pStyle w:val="Heading2"/>
      </w:pPr>
      <w:r>
        <w:t>6.2 Issue and decision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864"/>
        <w:gridCol w:w="2376"/>
        <w:gridCol w:w="1440"/>
        <w:gridCol w:w="3240"/>
        <w:gridCol w:w="1152"/>
        <w:gridCol w:w="1007"/>
      </w:tblGrid>
      <w:tr>
        <w:trPr>
          <w:tblHeader w:val="true"/>
          <w:cantSplit w:val="true"/>
        </w:trPr>
        <w:tc>
          <w:tcPr>
            <w:tcW w:type="dxa" w:w="8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Issue / decision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32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 / evidence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</w:t>
            </w:r>
          </w:p>
        </w:tc>
        <w:tc>
          <w:tcPr>
            <w:tcW w:type="dxa" w:w="1007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I-007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MRI vendor load data not confirmed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Vendor meeting and provisional design envelope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28 Aug 2026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8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D-011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Select open or closed ceiling in main corridor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</w:t>
            </w:r>
          </w:p>
        </w:tc>
        <w:tc>
          <w:tcPr>
            <w:tcW w:type="dxa" w:w="32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Option comparison with infection-control and maintenance impact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05 Sep 2026</w:t>
            </w:r>
          </w:p>
        </w:tc>
        <w:tc>
          <w:tcPr>
            <w:tcW w:type="dxa" w:w="100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Pending</w:t>
            </w:r>
          </w:p>
        </w:tc>
      </w:tr>
    </w:tbl>
    <w:p>
      <w:r>
        <w:br w:type="page"/>
      </w:r>
    </w:p>
    <w:p>
      <w:pPr>
        <w:pStyle w:val="Heading1"/>
      </w:pPr>
      <w:r>
        <w:t>7. Quality, HSE and sustainability</w:t>
      </w:r>
    </w:p>
    <w:p>
      <w:pPr>
        <w:pStyle w:val="Heading2"/>
      </w:pPr>
      <w:r>
        <w:t>7.1 Quality control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880"/>
        <w:gridCol w:w="2376"/>
        <w:gridCol w:w="1224"/>
        <w:gridCol w:w="122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</w:t>
            </w:r>
          </w:p>
        </w:tc>
        <w:tc>
          <w:tcPr>
            <w:tcW w:type="dxa" w:w="28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</w:t>
            </w:r>
          </w:p>
        </w:tc>
        <w:tc>
          <w:tcPr>
            <w:tcW w:type="dxa" w:w="237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Verification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When</w:t>
            </w:r>
          </w:p>
        </w:tc>
        <w:tc>
          <w:tcPr>
            <w:tcW w:type="dxa" w:w="122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packages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brief, coordination, compliance and information requirements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review and independent check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Each issue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Mock-ups / samples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appearance and performance criteria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Inspection and recorded approval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bulk work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Installed work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ITP hold/witness points and approved construction information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Inspection, test and photo evidence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Per ITP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scripts and acceptance criteria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Witnessed testing and results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System completion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Handover</w:t>
            </w:r>
          </w:p>
        </w:tc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Complete, accurate and retrievable records</w:t>
            </w:r>
          </w:p>
        </w:tc>
        <w:tc>
          <w:tcPr>
            <w:tcW w:type="dxa" w:w="23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Register reconciliation and sample retrieval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 closeout</w:t>
            </w:r>
          </w:p>
        </w:tc>
        <w:tc>
          <w:tcPr>
            <w:tcW w:type="dxa" w:w="12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</w:tbl>
    <w:p>
      <w:pPr>
        <w:pStyle w:val="Heading2"/>
      </w:pPr>
      <w:r>
        <w:t>7.2 HSE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5832"/>
        <w:gridCol w:w="1655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Area</w:t>
            </w:r>
          </w:p>
        </w:tc>
        <w:tc>
          <w:tcPr>
            <w:tcW w:type="dxa" w:w="583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Governance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Project-specific HSE plan; statutory and client requirements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manager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risk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Eliminate/reduce hazards; communicate residual risks in controlled records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Planning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Task risk assessment/method statement and permit controls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Learning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Near-miss, observation and incident review; corrective actions verified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HSE manager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Stop work</w:t>
            </w:r>
          </w:p>
        </w:tc>
        <w:tc>
          <w:tcPr>
            <w:tcW w:type="dxa" w:w="58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Any person may stop unsafe work without retaliation</w:t>
            </w:r>
          </w:p>
        </w:tc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</w:tbl>
    <w:p>
      <w:pPr>
        <w:pStyle w:val="Heading2"/>
      </w:pPr>
      <w:r>
        <w:t>7.3 Sustainability and social value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728"/>
        <w:gridCol w:w="3744"/>
        <w:gridCol w:w="2304"/>
        <w:gridCol w:w="1584"/>
      </w:tblGrid>
      <w:tr>
        <w:trPr>
          <w:tblHeader w:val="true"/>
          <w:cantSplit w:val="true"/>
        </w:trPr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Outcome</w:t>
            </w:r>
          </w:p>
        </w:tc>
        <w:tc>
          <w:tcPr>
            <w:tcW w:type="dxa" w:w="37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Target / action</w:t>
            </w:r>
          </w:p>
        </w:tc>
        <w:tc>
          <w:tcPr>
            <w:tcW w:type="dxa" w:w="230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Operational energy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Meet approved energy target and verify controls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Energy model + commissioning data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Design/commissioning leads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Embodied carbon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Record agreed high-impact materials and options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carbon report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Waste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Prevent, segregate and report priority waste streams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Waste records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Construction manager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Inclusive access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Validate approved access and wayfinding requirements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review + inspection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Local value</w:t>
            </w:r>
          </w:p>
        </w:tc>
        <w:tc>
          <w:tcPr>
            <w:tcW w:type="dxa" w:w="37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Report agreed training/local supply outcomes without double counting</w:t>
            </w:r>
          </w:p>
        </w:tc>
        <w:tc>
          <w:tcPr>
            <w:tcW w:type="dxa" w:w="2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Social-value report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</w:tbl>
    <w:p>
      <w:r>
        <w:br w:type="page"/>
      </w:r>
    </w:p>
    <w:p>
      <w:pPr>
        <w:pStyle w:val="Heading1"/>
      </w:pPr>
      <w:r>
        <w:t>8. Communication, documents and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2088"/>
        <w:gridCol w:w="1152"/>
        <w:gridCol w:w="2951"/>
        <w:gridCol w:w="1512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Forum</w:t>
            </w:r>
          </w:p>
        </w:tc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Participants</w:t>
            </w:r>
          </w:p>
        </w:tc>
        <w:tc>
          <w:tcPr>
            <w:tcW w:type="dxa" w:w="115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Cadence</w:t>
            </w:r>
          </w:p>
        </w:tc>
        <w:tc>
          <w:tcPr>
            <w:tcW w:type="dxa" w:w="2951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Purpose / output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board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Sponsor, project director, key client leads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Decisions, tolerances, forecast and top risks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Delivery leadership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Workstream leads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Milestones, interfaces, constraints and decisions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coordination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disciplines and specialist packages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Weekly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Coordinated design and issue decisions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review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Project/commercial/procurement leads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Monthly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Forecast, change, procurement and contingency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Commercial lead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Stakeholder briefing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Users, operations and affected neighbors as applicable</w:t>
            </w:r>
          </w:p>
        </w:tc>
        <w:tc>
          <w:tcPr>
            <w:tcW w:type="dxa" w:w="115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Milestone-based</w:t>
            </w:r>
          </w:p>
        </w:tc>
        <w:tc>
          <w:tcPr>
            <w:tcW w:type="dxa" w:w="29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Decisions, impacts and feedback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Stakeholder lead</w:t>
            </w:r>
          </w:p>
        </w:tc>
      </w:tr>
    </w:tbl>
    <w:p>
      <w:pPr>
        <w:pStyle w:val="Heading2"/>
      </w:pPr>
      <w:r>
        <w:t>8.1 Document and correspondence rules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2088"/>
        <w:gridCol w:w="5544"/>
        <w:gridCol w:w="1728"/>
      </w:tblGrid>
      <w:tr>
        <w:trPr>
          <w:tblHeader w:val="true"/>
          <w:cantSplit w:val="true"/>
        </w:trPr>
        <w:tc>
          <w:tcPr>
            <w:tcW w:type="dxa" w:w="208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</w:t>
            </w:r>
          </w:p>
        </w:tc>
        <w:tc>
          <w:tcPr>
            <w:tcW w:type="dxa" w:w="55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Rule</w:t>
            </w:r>
          </w:p>
        </w:tc>
        <w:tc>
          <w:tcPr>
            <w:tcW w:type="dxa" w:w="1728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Authoritative record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CDE; email may notify but does not replace controlled records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 identifiers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information standard and agreed metadata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Document controller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Reviews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Named reviewer, due date, status and consolidated response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Package owner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RFIs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Single question/decision per record; location, evidence and required-by date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Design manager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Meeting records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Decisions, actions, owners and dates; issued within two working days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Meeting chair</w:t>
            </w:r>
          </w:p>
        </w:tc>
      </w:tr>
      <w:tr>
        <w:trPr>
          <w:cantSplit w:val="true"/>
        </w:trPr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Personal/sensitive data</w:t>
            </w:r>
          </w:p>
        </w:tc>
        <w:tc>
          <w:tcPr>
            <w:tcW w:type="dxa" w:w="55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Collect minimally; restrict access; follow project privacy/security rules</w:t>
            </w:r>
          </w:p>
        </w:tc>
        <w:tc>
          <w:tcPr>
            <w:tcW w:type="dxa" w:w="172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owner</w:t>
            </w:r>
          </w:p>
        </w:tc>
      </w:tr>
    </w:tbl>
    <w:p>
      <w:pPr>
        <w:pStyle w:val="Heading2"/>
      </w:pPr>
      <w:r>
        <w:t>8.2 BIM and digital delivery reference</w:t>
      </w:r>
    </w:p>
    <w:p>
      <w:pPr>
        <w:spacing w:before="0" w:after="100" w:line="276" w:lineRule="auto"/>
      </w:pPr>
      <w:r>
        <w:rPr>
          <w:rFonts w:ascii="Arial" w:hAnsi="Arial"/>
          <w:b w:val="0"/>
          <w:i w:val="0"/>
          <w:color w:val="151714"/>
          <w:sz w:val="21"/>
        </w:rPr>
        <w:t>The project BIM Execution Plan governs BIM-specific information management, model production, exchange, coordination, quality and handover. This PEP references the controlled BEP and does not duplicate its technical rules.</w:t>
      </w:r>
    </w:p>
    <w:p>
      <w:r>
        <w:br w:type="page"/>
      </w:r>
    </w:p>
    <w:p>
      <w:pPr>
        <w:pStyle w:val="Heading1"/>
      </w:pPr>
      <w:r>
        <w:t>9. Commissioning, handover and closeout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872"/>
        <w:gridCol w:w="4680"/>
        <w:gridCol w:w="1512"/>
        <w:gridCol w:w="1296"/>
      </w:tblGrid>
      <w:tr>
        <w:trPr>
          <w:tblHeader w:val="true"/>
          <w:cantSplit w:val="true"/>
        </w:trPr>
        <w:tc>
          <w:tcPr>
            <w:tcW w:type="dxa" w:w="187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468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Acceptance / evidence</w:t>
            </w:r>
          </w:p>
        </w:tc>
        <w:tc>
          <w:tcPr>
            <w:tcW w:type="dxa" w:w="151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2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Due / status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plan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Systems, scripts, witnesses, dependencies and acceptance criteria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Commissioning manager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before testing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Training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Role-based operator training with attendance and materials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Operations lead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Before operational handover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Handover documents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manuals, certificates, warranties, test results and record information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Progressively validated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data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Priority assets with stable IDs and accepted required fields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Asset information lead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Imported/tested before final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Defects / residual work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Prioritized list, owners, dates and operational controls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Quality manager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Accepted at handover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Lessons learned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Evidence-based review covering outcomes, controls and reusable learning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Project director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Within 30 days</w:t>
            </w:r>
          </w:p>
        </w:tc>
      </w:tr>
      <w:tr>
        <w:trPr>
          <w:cantSplit w:val="true"/>
        </w:trPr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Archive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Controlled project record retained and retrievable per policy</w:t>
            </w:r>
          </w:p>
        </w:tc>
        <w:tc>
          <w:tcPr>
            <w:tcW w:type="dxa" w:w="151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Information manager</w:t>
            </w:r>
          </w:p>
        </w:tc>
        <w:tc>
          <w:tcPr>
            <w:tcW w:type="dxa" w:w="12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Archive test complete</w:t>
            </w:r>
          </w:p>
        </w:tc>
      </w:tr>
    </w:tbl>
    <w:p>
      <w:pPr>
        <w:pStyle w:val="Heading2"/>
      </w:pPr>
      <w:r>
        <w:t>9.1 Plan approval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1655"/>
        <w:gridCol w:w="3096"/>
        <w:gridCol w:w="1944"/>
        <w:gridCol w:w="2664"/>
      </w:tblGrid>
      <w:tr>
        <w:trPr>
          <w:tblHeader w:val="true"/>
          <w:cantSplit w:val="true"/>
        </w:trPr>
        <w:tc>
          <w:tcPr>
            <w:tcW w:type="dxa" w:w="1655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Action</w:t>
            </w:r>
          </w:p>
        </w:tc>
        <w:tc>
          <w:tcPr>
            <w:tcW w:type="dxa" w:w="3096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Name / role</w:t>
            </w:r>
          </w:p>
        </w:tc>
        <w:tc>
          <w:tcPr>
            <w:tcW w:type="dxa" w:w="194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266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Prepared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Daniel Okoro — Project Director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Reviewed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Marco Silva — Commercial Lead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  <w:tr>
        <w:trPr>
          <w:cantSplit w:val="true"/>
        </w:trPr>
        <w:tc>
          <w:tcPr>
            <w:tcW w:type="dxa" w:w="165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by</w:t>
            </w:r>
          </w:p>
        </w:tc>
        <w:tc>
          <w:tcPr>
            <w:tcW w:type="dxa" w:w="309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Priya Menon — Project Sponsor</w:t>
            </w:r>
          </w:p>
        </w:tc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August 2026</w:t>
            </w:r>
          </w:p>
        </w:tc>
        <w:tc>
          <w:tcPr>
            <w:tcW w:type="dxa" w:w="266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Approved for sample use</w:t>
            </w:r>
          </w:p>
        </w:tc>
      </w:tr>
    </w:tbl>
    <w:p>
      <w:pPr>
        <w:pStyle w:val="Heading2"/>
      </w:pPr>
      <w:r>
        <w:t>9.2 Revision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BD3CC"/>
          <w:left w:val="single" w:sz="6" w:space="0" w:color="CBD3CC"/>
          <w:bottom w:val="single" w:sz="6" w:space="0" w:color="CBD3CC"/>
          <w:right w:val="single" w:sz="6" w:space="0" w:color="CBD3CC"/>
          <w:insideH w:val="single" w:sz="6" w:space="0" w:color="CBD3CC"/>
          <w:insideV w:val="single" w:sz="6" w:space="0" w:color="CBD3CC"/>
        </w:tblBorders>
      </w:tblPr>
      <w:tblGrid>
        <w:gridCol w:w="792"/>
        <w:gridCol w:w="1440"/>
        <w:gridCol w:w="3960"/>
        <w:gridCol w:w="1584"/>
        <w:gridCol w:w="1584"/>
      </w:tblGrid>
      <w:tr>
        <w:trPr>
          <w:tblHeader w:val="true"/>
          <w:cantSplit w:val="true"/>
        </w:trPr>
        <w:tc>
          <w:tcPr>
            <w:tcW w:type="dxa" w:w="792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</w:t>
            </w:r>
          </w:p>
        </w:tc>
        <w:tc>
          <w:tcPr>
            <w:tcW w:type="dxa" w:w="144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960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Change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Author</w:t>
            </w:r>
          </w:p>
        </w:tc>
        <w:tc>
          <w:tcPr>
            <w:tcW w:type="dxa" w:w="1584"/>
            <w:shd w:fill="15171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Approver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P01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15 Aug 2026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Mobilization draft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D. Okoro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P. Menon</w:t>
            </w:r>
          </w:p>
        </w:tc>
      </w:tr>
      <w:tr>
        <w:trPr>
          <w:cantSplit w:val="true"/>
        </w:trPr>
        <w:tc>
          <w:tcPr>
            <w:tcW w:type="dxa" w:w="79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P02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22 Aug 2026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Baseline, controls and handover updates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D. Okoro</w:t>
            </w:r>
          </w:p>
        </w:tc>
        <w:tc>
          <w:tcPr>
            <w:tcW w:type="dxa" w:w="158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i w:val="0"/>
                <w:color w:val="151714"/>
                <w:sz w:val="16"/>
              </w:rPr>
              <w:t>P. Menon</w:t>
            </w:r>
          </w:p>
        </w:tc>
      </w:tr>
    </w:tbl>
    <w:p>
      <w:r>
        <w:br w:type="page"/>
      </w:r>
    </w:p>
    <w:p>
      <w:pPr>
        <w:pStyle w:val="Heading1"/>
      </w:pPr>
      <w:r>
        <w:t>Reference framework</w:t>
      </w:r>
    </w:p>
    <w:p>
      <w:pPr>
        <w:pStyle w:val="Heading2"/>
      </w:pPr>
      <w:r>
        <w:t>Before controlled issue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Confirm every accountable role is named and accepts the stated authority.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Reconcile scope, milestones, budget, procurement, risk and information plans against the approved baseline.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Verify that referenced plans and registers use the same identifiers, dates and controlled locations.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Remove unused example content and complete the approval and revision records.</w:t>
      </w:r>
    </w:p>
    <w:p>
      <w:pPr>
        <w:pStyle w:val="Heading2"/>
      </w:pPr>
      <w:r>
        <w:t>Useful references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Use the applicable appointment, contract, local law and client governance as the controlling basis.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Where BIM/information management is required, coordinate this PEP with the project BEP and current ISO 19650/national guidance.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ISO 21502:2020 provides general project-management guidance: https://www.iso.org/standard/74947.html</w:t>
      </w:r>
    </w:p>
    <w:p>
      <w:pPr>
        <w:pStyle w:val="ListBullet"/>
        <w:spacing w:before="0" w:after="60" w:line="276" w:lineRule="auto"/>
        <w:ind w:left="360" w:hanging="230"/>
      </w:pPr>
      <w:r>
        <w:rPr>
          <w:rFonts w:ascii="Arial" w:hAnsi="Arial"/>
          <w:b w:val="0"/>
          <w:i w:val="0"/>
          <w:color w:val="151714"/>
          <w:sz w:val="21"/>
        </w:rPr>
        <w:t>UK BIM Framework implementation guidance: https://ukbimframework.org/resources/</w:t>
      </w:r>
    </w:p>
    <w:p>
      <w:pPr>
        <w:spacing w:before="0" w:after="100" w:line="276" w:lineRule="auto"/>
      </w:pPr>
      <w:r>
        <w:rPr>
          <w:rFonts w:ascii="Arial" w:hAnsi="Arial"/>
          <w:b w:val="0"/>
          <w:i/>
          <w:color w:val="5E665F"/>
          <w:sz w:val="17"/>
        </w:rPr>
        <w:t>This template is a practical starting point, not legal, contractual, safety or regulatory advice. Adapt it with competent project, commercial, HSE, quality, information and legal professionals.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61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168"/>
      <w:gridCol w:w="3024"/>
      <w:gridCol w:w="3168"/>
    </w:tblGrid>
    <w:tr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lef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zxcollabs.com</w:t>
          </w:r>
        </w:p>
      </w:tc>
      <w:tc>
        <w:tcPr>
          <w:tcW w:type="dxa" w:w="3024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center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Pre-filled fictional example</w:t>
          </w:r>
        </w:p>
      </w:tc>
      <w:tc>
        <w:tcPr>
          <w:tcW w:type="dxa" w:w="3168"/>
          <w:tcMar>
            <w:top w:w="20" w:type="dxa"/>
            <w:start w:w="0" w:type="dxa"/>
            <w:bottom w:w="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5"/>
            </w:rPr>
            <w:t>Editable project template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</w:pPr>
          <w:r>
            <w:rPr>
              <w:rFonts w:ascii="Arial" w:hAnsi="Arial"/>
              <w:b/>
              <w:i w:val="0"/>
              <w:color w:val="151714"/>
              <w:sz w:val="17"/>
            </w:rPr>
            <w:t>ZX COLLABS</w:t>
          </w:r>
        </w:p>
      </w:tc>
      <w:tc>
        <w:tcPr>
          <w:tcW w:type="dxa" w:w="4680"/>
          <w:tcMar>
            <w:top w:w="0" w:type="dxa"/>
            <w:start w:w="0" w:type="dxa"/>
            <w:bottom w:w="30" w:type="dxa"/>
            <w:end w:w="0" w:type="dxa"/>
          </w:tcMar>
        </w:tcPr>
        <w:p>
          <w:pPr>
            <w:spacing w:before="0" w:after="0" w:line="276" w:lineRule="auto"/>
            <w:jc w:val="right"/>
          </w:pPr>
          <w:r>
            <w:rPr>
              <w:rFonts w:ascii="Arial" w:hAnsi="Arial"/>
              <w:b w:val="0"/>
              <w:i w:val="0"/>
              <w:color w:val="5E665F"/>
              <w:sz w:val="16"/>
            </w:rPr>
            <w:t>Project Execution Plan</w:t>
          </w:r>
        </w:p>
      </w:tc>
    </w:tr>
  </w:tbl>
  <w:p>
    <w:pPr>
      <w:spacing w:after="0"/>
      <w:pBdr>
        <w:bottom w:val="single" w:sz="8" w:color="10A99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A99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0A99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5171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